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/>
      </w:tblPr>
      <w:tblGrid>
        <w:gridCol w:w="5038"/>
        <w:gridCol w:w="10576"/>
      </w:tblGrid>
      <w:tr w:rsidR="008F1B75" w:rsidRPr="000F6E58" w:rsidTr="009A2714">
        <w:tc>
          <w:tcPr>
            <w:tcW w:w="4834" w:type="dxa"/>
          </w:tcPr>
          <w:p w:rsidR="009F7CE3" w:rsidRPr="009A2714" w:rsidRDefault="009F7CE3">
            <w:pPr>
              <w:rPr>
                <w:rFonts w:cs="Arial"/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Promisce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verae atque falsae Plauti comoediae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nomine eius inscriptae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feruntur.</w:t>
            </w:r>
          </w:p>
        </w:tc>
        <w:tc>
          <w:tcPr>
            <w:tcW w:w="9669" w:type="dxa"/>
          </w:tcPr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……………………………………………………………………….. 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attribuite al suo nome</w:t>
            </w:r>
          </w:p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 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in modo confuso, tutte insieme.</w:t>
            </w:r>
          </w:p>
        </w:tc>
      </w:tr>
      <w:tr w:rsidR="008F1B75" w:rsidRPr="000F6E58" w:rsidTr="009A2714">
        <w:tc>
          <w:tcPr>
            <w:tcW w:w="4834" w:type="dxa"/>
          </w:tcPr>
          <w:p w:rsidR="009F7CE3" w:rsidRPr="009A2714" w:rsidRDefault="009F7CE3">
            <w:pPr>
              <w:rPr>
                <w:rFonts w:cs="Arial"/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>
            <w:pPr>
              <w:rPr>
                <w:rFonts w:cs="Arial"/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Sunt autem una et viginti, quae "Varronianae" vocantur,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quoniam dubiosae non sunt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, sed consensu omnium Plauti esse censentur, quoniam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leporem atque facetiam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sermonis Plauto habent.</w:t>
            </w:r>
          </w:p>
        </w:tc>
        <w:tc>
          <w:tcPr>
            <w:tcW w:w="9669" w:type="dxa"/>
          </w:tcPr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 w:rsidP="009F7CE3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……..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., poiché non sono incerte, 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………………………..</w:t>
            </w:r>
          </w:p>
          <w:p w:rsidR="009F7CE3" w:rsidRPr="009A2714" w:rsidRDefault="009F7CE3" w:rsidP="009F7CE3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……………….</w:t>
            </w:r>
          </w:p>
          <w:p w:rsidR="009F7CE3" w:rsidRPr="009A2714" w:rsidRDefault="009F7CE3" w:rsidP="009F7CE3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la piacevolezza e lo spirito dello stile di Plauto.</w:t>
            </w:r>
          </w:p>
        </w:tc>
      </w:tr>
      <w:tr w:rsidR="008F1B75" w:rsidRPr="000F6E58" w:rsidTr="009A2714">
        <w:tc>
          <w:tcPr>
            <w:tcW w:w="4834" w:type="dxa"/>
          </w:tcPr>
          <w:p w:rsidR="00026CCA" w:rsidRPr="009A2714" w:rsidRDefault="00026CCA" w:rsidP="009F7CE3">
            <w:pPr>
              <w:rPr>
                <w:rFonts w:cs="Arial"/>
                <w:color w:val="943634" w:themeColor="accent2" w:themeShade="BF"/>
                <w:sz w:val="28"/>
                <w:szCs w:val="28"/>
              </w:rPr>
            </w:pPr>
          </w:p>
          <w:p w:rsidR="00026CCA" w:rsidRPr="009A2714" w:rsidRDefault="00026CCA" w:rsidP="009F7CE3">
            <w:pPr>
              <w:rPr>
                <w:rFonts w:cs="Arial"/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 w:rsidP="009F7CE3">
            <w:pPr>
              <w:rPr>
                <w:rFonts w:cs="Arial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Varro et plerique alii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memoriae tradiderun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t in pistrino eum scripsisse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Saturionem et Addictum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et tertiam quandam, cuius nunc mihi nomen non subpetit, cum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inops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Romam redisset, in mercatibus perdita pecunia omni, quam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in operis artificum scaenicorum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pepererat. Ob quaerendum victum ad circumagendas molas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operam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pistori 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  <w:u w:val="single"/>
              </w:rPr>
              <w:t>locavit.</w:t>
            </w:r>
            <w:r w:rsidRPr="009A2714">
              <w:rPr>
                <w:rFonts w:cs="Arial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9F7CE3" w:rsidRPr="009A2714" w:rsidRDefault="009F7CE3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69" w:type="dxa"/>
          </w:tcPr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9F7CE3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hanno tramandato</w:t>
            </w:r>
          </w:p>
          <w:p w:rsidR="009F7CE3" w:rsidRPr="009A2714" w:rsidRDefault="009F7CE3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…………………………………………………………………………………………….. 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i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l Saturio e l’Addictus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 xml:space="preserve"> ……….</w:t>
            </w:r>
          </w:p>
          <w:p w:rsidR="009F7CE3" w:rsidRPr="009A2714" w:rsidRDefault="009F7CE3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………….</w:t>
            </w:r>
          </w:p>
          <w:p w:rsidR="009F7CE3" w:rsidRPr="009A2714" w:rsidRDefault="009F7CE3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………………………………………………………… 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………….</w:t>
            </w:r>
            <w:r w:rsidR="00026CCA" w:rsidRPr="009A2714">
              <w:rPr>
                <w:color w:val="943634" w:themeColor="accent2" w:themeShade="BF"/>
                <w:sz w:val="28"/>
                <w:szCs w:val="28"/>
              </w:rPr>
              <w:t>………..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povero, …………………………………………</w:t>
            </w:r>
          </w:p>
          <w:p w:rsidR="009F7CE3" w:rsidRPr="009A2714" w:rsidRDefault="009F7CE3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………….</w:t>
            </w:r>
          </w:p>
          <w:p w:rsidR="009F7CE3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 </w:t>
            </w:r>
            <w:r w:rsidR="009F7CE3" w:rsidRPr="009A2714">
              <w:rPr>
                <w:color w:val="943634" w:themeColor="accent2" w:themeShade="BF"/>
                <w:sz w:val="28"/>
                <w:szCs w:val="28"/>
              </w:rPr>
              <w:t>negli allestimenti teatrali.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 …………………………………………………….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lastRenderedPageBreak/>
              <w:t>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. prestò servizio 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</w:t>
            </w:r>
          </w:p>
          <w:p w:rsidR="008F1B75" w:rsidRPr="009A2714" w:rsidRDefault="008F1B75" w:rsidP="009F7CE3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</w:p>
          <w:p w:rsidR="009F7CE3" w:rsidRPr="009A2714" w:rsidRDefault="00026CCA" w:rsidP="009F7CE3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………………</w:t>
            </w:r>
          </w:p>
        </w:tc>
      </w:tr>
      <w:tr w:rsidR="00026CCA" w:rsidRPr="000F6E58" w:rsidTr="009A2714">
        <w:tc>
          <w:tcPr>
            <w:tcW w:w="4834" w:type="dxa"/>
          </w:tcPr>
          <w:p w:rsidR="00026CCA" w:rsidRPr="009A2714" w:rsidRDefault="00026CCA" w:rsidP="00026CCA">
            <w:pPr>
              <w:pStyle w:val="NormaleWeb"/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</w:pPr>
          </w:p>
          <w:p w:rsidR="00026CCA" w:rsidRPr="009A2714" w:rsidRDefault="00026CCA" w:rsidP="00026CCA">
            <w:pPr>
              <w:pStyle w:val="NormaleWeb"/>
              <w:rPr>
                <w:rFonts w:ascii="Calibri" w:hAnsi="Calibri"/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Est epigramma Plauti, 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>quod dubitavissemus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, an Plauti foret, 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>nisi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 a M. Varrone 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>positum esset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 in libro de poetis primo: </w:t>
            </w:r>
          </w:p>
          <w:p w:rsidR="00026CCA" w:rsidRPr="009A2714" w:rsidRDefault="00026CCA" w:rsidP="00026CCA">
            <w:pPr>
              <w:pStyle w:val="NormaleWeb"/>
              <w:rPr>
                <w:rFonts w:ascii="Calibri" w:hAnsi="Calibri"/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postquam 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>est mortem aptus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 Plautus, Comoedia luget,</w:t>
            </w:r>
            <w:r w:rsidRPr="009A2714">
              <w:rPr>
                <w:rFonts w:ascii="Calibri" w:hAnsi="Calibri"/>
                <w:iCs/>
                <w:color w:val="943634" w:themeColor="accent2" w:themeShade="BF"/>
                <w:sz w:val="28"/>
                <w:szCs w:val="28"/>
              </w:rPr>
              <w:br/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>scaena est deserta,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 xml:space="preserve"> dein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 Risus, Ludus iocusque</w:t>
            </w:r>
            <w:r w:rsidRPr="009A2714">
              <w:rPr>
                <w:rFonts w:ascii="Calibri" w:hAnsi="Calibri"/>
                <w:iCs/>
                <w:color w:val="943634" w:themeColor="accent2" w:themeShade="BF"/>
                <w:sz w:val="28"/>
                <w:szCs w:val="28"/>
              </w:rPr>
              <w:br/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  <w:u w:val="single"/>
              </w:rPr>
              <w:t>et Numeri innumeri simul omnes</w:t>
            </w:r>
            <w:r w:rsidRPr="009A2714">
              <w:rPr>
                <w:rStyle w:val="Enfasicorsivo"/>
                <w:rFonts w:ascii="Calibri" w:hAnsi="Calibri"/>
                <w:i w:val="0"/>
                <w:color w:val="943634" w:themeColor="accent2" w:themeShade="BF"/>
                <w:sz w:val="28"/>
                <w:szCs w:val="28"/>
              </w:rPr>
              <w:t xml:space="preserve"> conlacrimarunt. [...]</w:t>
            </w:r>
          </w:p>
          <w:p w:rsidR="00026CCA" w:rsidRPr="009A2714" w:rsidRDefault="00026CCA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69" w:type="dxa"/>
          </w:tcPr>
          <w:p w:rsidR="00026CCA" w:rsidRPr="009A2714" w:rsidRDefault="00026CCA">
            <w:pPr>
              <w:rPr>
                <w:color w:val="943634" w:themeColor="accent2" w:themeShade="BF"/>
                <w:sz w:val="28"/>
                <w:szCs w:val="28"/>
              </w:rPr>
            </w:pP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….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, che avremmo dubitato 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………………………………………………………… 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 xml:space="preserve">……, 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se non fosse stato messo 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</w:t>
            </w:r>
            <w:r w:rsidR="00AF04B4" w:rsidRPr="009A2714">
              <w:rPr>
                <w:color w:val="943634" w:themeColor="accent2" w:themeShade="BF"/>
                <w:sz w:val="28"/>
                <w:szCs w:val="28"/>
              </w:rPr>
              <w:t>………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 xml:space="preserve"> :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>…..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è morto, ………………………………………………………………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>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…………………………………………………………………. 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>…e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 anche …………………………………………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>……..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 xml:space="preserve">……………………………………………………………… </w:t>
            </w:r>
            <w:r w:rsidR="00773A82" w:rsidRPr="009A2714">
              <w:rPr>
                <w:color w:val="943634" w:themeColor="accent2" w:themeShade="BF"/>
                <w:sz w:val="28"/>
                <w:szCs w:val="28"/>
              </w:rPr>
              <w:t>……</w:t>
            </w:r>
            <w:r w:rsidRPr="009A2714">
              <w:rPr>
                <w:color w:val="943634" w:themeColor="accent2" w:themeShade="BF"/>
                <w:sz w:val="28"/>
                <w:szCs w:val="28"/>
              </w:rPr>
              <w:t>e tutti i suoi innumerevoli schemi metrici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……………………………………………………………..</w:t>
            </w:r>
          </w:p>
        </w:tc>
      </w:tr>
      <w:tr w:rsidR="00026CCA" w:rsidRPr="000F6E58" w:rsidTr="009A2714">
        <w:trPr>
          <w:trHeight w:val="1397"/>
        </w:trPr>
        <w:tc>
          <w:tcPr>
            <w:tcW w:w="14503" w:type="dxa"/>
            <w:gridSpan w:val="2"/>
          </w:tcPr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Quali elementi della vita e dell’opera di Plauto si possono ricavare da queste testimonianze?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26CCA" w:rsidRPr="009A2714" w:rsidRDefault="00026CCA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F1B75" w:rsidRPr="009A2714" w:rsidRDefault="008F1B75" w:rsidP="00026CCA">
            <w:pPr>
              <w:spacing w:line="480" w:lineRule="auto"/>
              <w:rPr>
                <w:color w:val="943634" w:themeColor="accent2" w:themeShade="BF"/>
                <w:sz w:val="28"/>
                <w:szCs w:val="28"/>
              </w:rPr>
            </w:pPr>
            <w:r w:rsidRPr="009A2714">
              <w:rPr>
                <w:color w:val="943634" w:themeColor="accent2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192BEF" w:rsidRPr="000F6E58" w:rsidRDefault="00192BEF">
      <w:pPr>
        <w:rPr>
          <w:sz w:val="28"/>
          <w:szCs w:val="28"/>
        </w:rPr>
      </w:pPr>
    </w:p>
    <w:sectPr w:rsidR="00192BEF" w:rsidRPr="000F6E58" w:rsidSect="008F1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0A" w:rsidRDefault="00C7010A" w:rsidP="00253E7F">
      <w:r>
        <w:separator/>
      </w:r>
    </w:p>
  </w:endnote>
  <w:endnote w:type="continuationSeparator" w:id="0">
    <w:p w:rsidR="00C7010A" w:rsidRDefault="00C7010A" w:rsidP="0025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7F" w:rsidRDefault="00253E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BC" w:rsidRDefault="008125BC" w:rsidP="008125BC">
    <w:pPr>
      <w:pStyle w:val="Pidipagina"/>
      <w:jc w:val="center"/>
    </w:pPr>
    <w:hyperlink r:id="rId1" w:history="1">
      <w:r w:rsidRPr="00FC42D6">
        <w:rPr>
          <w:rStyle w:val="Collegamentoipertestuale"/>
        </w:rPr>
        <w:t>www.forumlive.net</w:t>
      </w:r>
    </w:hyperlink>
    <w:r>
      <w:t xml:space="preserve"> – inviato da Paola Lerza</w:t>
    </w:r>
  </w:p>
  <w:p w:rsidR="00253E7F" w:rsidRDefault="00253E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7F" w:rsidRDefault="00253E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0A" w:rsidRDefault="00C7010A" w:rsidP="00253E7F">
      <w:r>
        <w:separator/>
      </w:r>
    </w:p>
  </w:footnote>
  <w:footnote w:type="continuationSeparator" w:id="0">
    <w:p w:rsidR="00C7010A" w:rsidRDefault="00C7010A" w:rsidP="0025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7F" w:rsidRDefault="00253E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7F" w:rsidRDefault="00253E7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7F" w:rsidRDefault="00253E7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BEF"/>
    <w:rsid w:val="00026CCA"/>
    <w:rsid w:val="00073A46"/>
    <w:rsid w:val="000F6E58"/>
    <w:rsid w:val="00192BEF"/>
    <w:rsid w:val="00253E7F"/>
    <w:rsid w:val="00295181"/>
    <w:rsid w:val="002E352D"/>
    <w:rsid w:val="00600037"/>
    <w:rsid w:val="006258FD"/>
    <w:rsid w:val="00706848"/>
    <w:rsid w:val="0071056C"/>
    <w:rsid w:val="00773A82"/>
    <w:rsid w:val="008125BC"/>
    <w:rsid w:val="008F1B75"/>
    <w:rsid w:val="00923DF4"/>
    <w:rsid w:val="009A2714"/>
    <w:rsid w:val="009F7CE3"/>
    <w:rsid w:val="00A11DA1"/>
    <w:rsid w:val="00AF04B4"/>
    <w:rsid w:val="00B4528B"/>
    <w:rsid w:val="00C169C3"/>
    <w:rsid w:val="00C7010A"/>
    <w:rsid w:val="00D11647"/>
    <w:rsid w:val="00E47ED4"/>
    <w:rsid w:val="00F71F0F"/>
    <w:rsid w:val="00FB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92BE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92B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59"/>
    <w:rsid w:val="000F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53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3E7F"/>
  </w:style>
  <w:style w:type="paragraph" w:styleId="Pidipagina">
    <w:name w:val="footer"/>
    <w:basedOn w:val="Normale"/>
    <w:link w:val="PidipaginaCarattere"/>
    <w:uiPriority w:val="99"/>
    <w:unhideWhenUsed/>
    <w:rsid w:val="00253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E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E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4530-4BD8-4BED-AF40-F8914823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13</cp:revision>
  <dcterms:created xsi:type="dcterms:W3CDTF">2012-12-07T17:00:00Z</dcterms:created>
  <dcterms:modified xsi:type="dcterms:W3CDTF">2013-01-25T18:00:00Z</dcterms:modified>
</cp:coreProperties>
</file>